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0432" w14:textId="7B715A6C" w:rsidR="00FE3FC9" w:rsidRPr="006578B9" w:rsidRDefault="00FE3FC9" w:rsidP="006578B9">
      <w:pPr>
        <w:pStyle w:val="a5"/>
      </w:pPr>
      <w:r w:rsidRPr="006578B9">
        <w:t>Услуга: корпоративный договор</w:t>
      </w:r>
    </w:p>
    <w:p w14:paraId="1B40CA62" w14:textId="77777777" w:rsidR="00FE3FC9" w:rsidRPr="006578B9" w:rsidRDefault="00FE3FC9" w:rsidP="00FE3FC9">
      <w:pPr>
        <w:jc w:val="both"/>
        <w:rPr>
          <w:rFonts w:asciiTheme="minorHAnsi" w:hAnsiTheme="minorHAnsi" w:cstheme="minorHAnsi"/>
          <w:i/>
        </w:rPr>
      </w:pPr>
    </w:p>
    <w:p w14:paraId="0E9491B0" w14:textId="7D6EB5C9" w:rsidR="00FE3FC9" w:rsidRPr="006578B9" w:rsidRDefault="00FE3FC9" w:rsidP="00463A27">
      <w:pPr>
        <w:ind w:firstLine="426"/>
        <w:jc w:val="both"/>
        <w:rPr>
          <w:rFonts w:asciiTheme="minorHAnsi" w:hAnsiTheme="minorHAnsi" w:cstheme="minorHAnsi"/>
          <w:b/>
          <w:i/>
        </w:rPr>
      </w:pPr>
      <w:r w:rsidRPr="006578B9">
        <w:rPr>
          <w:rFonts w:asciiTheme="minorHAnsi" w:hAnsiTheme="minorHAnsi" w:cstheme="minorHAnsi"/>
          <w:b/>
          <w:i/>
        </w:rPr>
        <w:t>Мы предоставляем комплекс услуг, связанных с разработкой корпоративного договора и «сопутствующих» документов, цель заключения которых – урегулировать взаимоотношения между двумя и более партнерами, ведущими совместный бизнес.</w:t>
      </w:r>
    </w:p>
    <w:p w14:paraId="74A5D17E" w14:textId="77777777" w:rsidR="00FE3FC9" w:rsidRPr="006578B9" w:rsidRDefault="00FE3FC9" w:rsidP="00463A27">
      <w:pPr>
        <w:ind w:firstLine="426"/>
        <w:jc w:val="both"/>
        <w:rPr>
          <w:rFonts w:asciiTheme="minorHAnsi" w:hAnsiTheme="minorHAnsi" w:cstheme="minorHAnsi"/>
          <w:i/>
        </w:rPr>
      </w:pPr>
    </w:p>
    <w:p w14:paraId="1862D6B2" w14:textId="77777777" w:rsidR="00FE3FC9" w:rsidRPr="006578B9" w:rsidRDefault="00FE3FC9" w:rsidP="00463A27">
      <w:pPr>
        <w:ind w:firstLine="426"/>
        <w:jc w:val="both"/>
        <w:rPr>
          <w:rFonts w:asciiTheme="minorHAnsi" w:hAnsiTheme="minorHAnsi" w:cstheme="minorHAnsi"/>
          <w:i/>
        </w:rPr>
      </w:pPr>
      <w:r w:rsidRPr="006578B9">
        <w:rPr>
          <w:rFonts w:asciiTheme="minorHAnsi" w:hAnsiTheme="minorHAnsi" w:cstheme="minorHAnsi"/>
          <w:i/>
        </w:rPr>
        <w:t>Разработка корпоративного договора и «сопутствующих» документов:</w:t>
      </w:r>
    </w:p>
    <w:p w14:paraId="22D33153" w14:textId="77777777" w:rsidR="00FE3FC9" w:rsidRPr="006578B9" w:rsidRDefault="00FE3FC9" w:rsidP="00463A27">
      <w:pPr>
        <w:ind w:firstLine="426"/>
        <w:jc w:val="both"/>
        <w:rPr>
          <w:rFonts w:asciiTheme="minorHAnsi" w:hAnsiTheme="minorHAnsi" w:cstheme="minorHAnsi"/>
          <w:i/>
        </w:rPr>
      </w:pPr>
    </w:p>
    <w:p w14:paraId="2EB93581" w14:textId="77777777" w:rsidR="00463A27" w:rsidRPr="006578B9" w:rsidRDefault="00463A27" w:rsidP="00463A27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i/>
          <w:iCs/>
          <w:color w:val="000000"/>
        </w:rPr>
        <w:t xml:space="preserve">решений единственного участника (используются </w:t>
      </w:r>
      <w:proofErr w:type="gramStart"/>
      <w:r w:rsidRPr="006578B9">
        <w:rPr>
          <w:rFonts w:asciiTheme="minorHAnsi" w:hAnsiTheme="minorHAnsi" w:cstheme="minorHAnsi"/>
          <w:i/>
          <w:iCs/>
          <w:color w:val="000000"/>
        </w:rPr>
        <w:t>при</w:t>
      </w:r>
      <w:proofErr w:type="gramEnd"/>
      <w:r w:rsidRPr="006578B9">
        <w:rPr>
          <w:rFonts w:asciiTheme="minorHAnsi" w:hAnsiTheme="minorHAnsi" w:cstheme="minorHAnsi"/>
          <w:i/>
          <w:iCs/>
          <w:color w:val="000000"/>
        </w:rPr>
        <w:t xml:space="preserve"> привлечение партнеров в свой бизнес)</w:t>
      </w:r>
    </w:p>
    <w:p w14:paraId="12465C39" w14:textId="77777777" w:rsidR="00463A27" w:rsidRPr="006578B9" w:rsidRDefault="00463A27" w:rsidP="00463A27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i/>
          <w:iCs/>
          <w:color w:val="000000"/>
        </w:rPr>
        <w:t>протоколов общих собраний</w:t>
      </w:r>
      <w:bookmarkStart w:id="0" w:name="_GoBack"/>
      <w:bookmarkEnd w:id="0"/>
    </w:p>
    <w:p w14:paraId="304CBFB0" w14:textId="77777777" w:rsidR="00463A27" w:rsidRPr="006578B9" w:rsidRDefault="00463A27" w:rsidP="00463A27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i/>
          <w:iCs/>
          <w:color w:val="000000"/>
        </w:rPr>
        <w:t>учредительных документов</w:t>
      </w:r>
    </w:p>
    <w:p w14:paraId="0B6299A2" w14:textId="77777777" w:rsidR="00463A27" w:rsidRPr="006578B9" w:rsidRDefault="00463A27" w:rsidP="00463A27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i/>
          <w:iCs/>
          <w:color w:val="000000"/>
        </w:rPr>
        <w:t>инвестиционных соглашений</w:t>
      </w:r>
    </w:p>
    <w:p w14:paraId="60AC9565" w14:textId="77777777" w:rsidR="00463A27" w:rsidRPr="006578B9" w:rsidRDefault="00463A27" w:rsidP="00463A27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i/>
          <w:iCs/>
          <w:color w:val="000000"/>
        </w:rPr>
        <w:t>гражданско-правовых договоров, связанных с корпоративным договором, и т.д.</w:t>
      </w:r>
    </w:p>
    <w:p w14:paraId="0BD4D99A" w14:textId="77777777" w:rsidR="00FE3FC9" w:rsidRPr="006578B9" w:rsidRDefault="00FE3FC9" w:rsidP="00FE3FC9">
      <w:pPr>
        <w:jc w:val="both"/>
        <w:rPr>
          <w:rFonts w:asciiTheme="minorHAnsi" w:hAnsiTheme="minorHAnsi" w:cstheme="minorHAnsi"/>
          <w:i/>
        </w:rPr>
      </w:pPr>
    </w:p>
    <w:p w14:paraId="7FACAB1A" w14:textId="77777777" w:rsidR="00FE3FC9" w:rsidRPr="006578B9" w:rsidRDefault="00FE3FC9" w:rsidP="00463A27">
      <w:pPr>
        <w:pStyle w:val="docdata"/>
        <w:spacing w:before="0" w:beforeAutospacing="0" w:after="160" w:afterAutospacing="0"/>
        <w:ind w:firstLine="426"/>
        <w:jc w:val="both"/>
        <w:rPr>
          <w:rFonts w:asciiTheme="minorHAnsi" w:hAnsiTheme="minorHAnsi" w:cstheme="minorHAnsi"/>
        </w:rPr>
      </w:pPr>
      <w:proofErr w:type="gramStart"/>
      <w:r w:rsidRPr="006578B9">
        <w:rPr>
          <w:rFonts w:asciiTheme="minorHAnsi" w:hAnsiTheme="minorHAnsi" w:cstheme="minorHAnsi"/>
          <w:color w:val="000000"/>
        </w:rPr>
        <w:t>Механизмы регулирования отношений между двумя и более партнерами, которые основаны исключительно на нормах действующего законодательства (в том числе Федеральный закон от 08.02.1998 N 14-ФЗ "Об обществах с ограниченной ответственностью", Федеральный закон от 26.12.1995 N 208-ФЗ "Об акционерных обществах") не являются достаточно гибкими для того, чтобы урегулировать множество нюансов в отношениях между партнерами.</w:t>
      </w:r>
      <w:proofErr w:type="gramEnd"/>
    </w:p>
    <w:p w14:paraId="1E2D1390" w14:textId="77777777" w:rsidR="00FE3FC9" w:rsidRPr="006578B9" w:rsidRDefault="00FE3FC9" w:rsidP="00463A27">
      <w:pPr>
        <w:pStyle w:val="a4"/>
        <w:spacing w:before="0" w:beforeAutospacing="0" w:after="160" w:afterAutospacing="0"/>
        <w:ind w:firstLine="426"/>
        <w:jc w:val="both"/>
        <w:rPr>
          <w:rFonts w:asciiTheme="minorHAnsi" w:hAnsiTheme="minorHAnsi" w:cstheme="minorHAnsi"/>
        </w:rPr>
      </w:pPr>
      <w:proofErr w:type="gramStart"/>
      <w:r w:rsidRPr="006578B9">
        <w:rPr>
          <w:rFonts w:asciiTheme="minorHAnsi" w:hAnsiTheme="minorHAnsi" w:cstheme="minorHAnsi"/>
          <w:color w:val="000000"/>
        </w:rPr>
        <w:t>В большинстве случаев, когда стороны действуют строго по закону, наиболее защищенной стороной является мажоритарный акционер (то есть лицо, контролирующее большую часть бизнеса (большую долю или большее количество акций).</w:t>
      </w:r>
      <w:proofErr w:type="gramEnd"/>
      <w:r w:rsidRPr="006578B9">
        <w:rPr>
          <w:rFonts w:asciiTheme="minorHAnsi" w:hAnsiTheme="minorHAnsi" w:cstheme="minorHAnsi"/>
          <w:color w:val="000000"/>
        </w:rPr>
        <w:t xml:space="preserve"> Миноритарные акционеры (меньшие партнеры) несут куда больше рисков.</w:t>
      </w:r>
    </w:p>
    <w:p w14:paraId="42542C64" w14:textId="77777777" w:rsidR="00FE3FC9" w:rsidRPr="006578B9" w:rsidRDefault="00FE3FC9" w:rsidP="00463A27">
      <w:pPr>
        <w:pStyle w:val="a4"/>
        <w:spacing w:before="0" w:beforeAutospacing="0" w:after="160" w:afterAutospacing="0"/>
        <w:ind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color w:val="000000"/>
        </w:rPr>
        <w:t>При разделении долей в бизнесе в пропорции 50/50, существует высокий риск создания «патовых ситуаций», когда в конфликтной ситуации одна из сторон блокирует все решения и действия второй стороны и достичь взаимоприемлемых договоренностей становится невозможно. Что, в свою очередь приводит к затратным корпоративным спорам, судебные разбирательства по которым могут длиться годами.</w:t>
      </w:r>
    </w:p>
    <w:p w14:paraId="3237D132" w14:textId="77777777" w:rsidR="00FE3FC9" w:rsidRPr="006578B9" w:rsidRDefault="00FE3FC9" w:rsidP="00463A27">
      <w:pPr>
        <w:pStyle w:val="a4"/>
        <w:spacing w:before="0" w:beforeAutospacing="0" w:after="160" w:afterAutospacing="0"/>
        <w:ind w:firstLine="426"/>
        <w:jc w:val="both"/>
        <w:rPr>
          <w:rFonts w:asciiTheme="minorHAnsi" w:hAnsiTheme="minorHAnsi" w:cstheme="minorHAnsi"/>
          <w:color w:val="000000"/>
        </w:rPr>
      </w:pPr>
      <w:r w:rsidRPr="006578B9">
        <w:rPr>
          <w:rFonts w:asciiTheme="minorHAnsi" w:hAnsiTheme="minorHAnsi" w:cstheme="minorHAnsi"/>
          <w:color w:val="000000"/>
        </w:rPr>
        <w:t>В результате партнеры вынуждены либо нести все вышеуказанные риски, либо вовсе отказываться от совместного участия в бизнесе. Предпочитая оформлять данное участие отдельными гражданско-правовыми договорами (займа, оказания услуг и т.д.).</w:t>
      </w:r>
    </w:p>
    <w:p w14:paraId="1222524D" w14:textId="77777777" w:rsidR="001C12F9" w:rsidRPr="006578B9" w:rsidRDefault="001C12F9" w:rsidP="00463A27">
      <w:pPr>
        <w:pStyle w:val="a4"/>
        <w:spacing w:before="0" w:beforeAutospacing="0" w:after="160" w:afterAutospacing="0"/>
        <w:ind w:firstLine="426"/>
        <w:jc w:val="both"/>
        <w:rPr>
          <w:rFonts w:asciiTheme="minorHAnsi" w:hAnsiTheme="minorHAnsi" w:cstheme="minorHAnsi"/>
        </w:rPr>
      </w:pPr>
    </w:p>
    <w:p w14:paraId="22612EFA" w14:textId="1C3C217A" w:rsidR="00FE3FC9" w:rsidRPr="006578B9" w:rsidRDefault="00FE3FC9" w:rsidP="00463A27">
      <w:pPr>
        <w:ind w:firstLine="426"/>
        <w:jc w:val="both"/>
        <w:rPr>
          <w:rFonts w:asciiTheme="minorHAnsi" w:hAnsiTheme="minorHAnsi" w:cstheme="minorHAnsi"/>
          <w:b/>
        </w:rPr>
      </w:pPr>
      <w:r w:rsidRPr="006578B9">
        <w:rPr>
          <w:rFonts w:asciiTheme="minorHAnsi" w:hAnsiTheme="minorHAnsi" w:cstheme="minorHAnsi"/>
          <w:b/>
        </w:rPr>
        <w:t>Корпоративный договор позволяет достичь соглашения и снять риски по следующим вопросам:</w:t>
      </w:r>
    </w:p>
    <w:p w14:paraId="49DCF68C" w14:textId="77777777" w:rsidR="00FE3FC9" w:rsidRPr="006578B9" w:rsidRDefault="00FE3FC9" w:rsidP="00463A27">
      <w:pPr>
        <w:ind w:firstLine="426"/>
        <w:jc w:val="both"/>
        <w:rPr>
          <w:rFonts w:asciiTheme="minorHAnsi" w:hAnsiTheme="minorHAnsi" w:cstheme="minorHAnsi"/>
        </w:rPr>
      </w:pPr>
    </w:p>
    <w:p w14:paraId="0553EF10" w14:textId="77777777" w:rsidR="00FE3FC9" w:rsidRPr="006578B9" w:rsidRDefault="00FE3FC9" w:rsidP="00463A27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b/>
          <w:bCs/>
          <w:i/>
          <w:iCs/>
        </w:rPr>
        <w:t>Порядок внесения партнерами инвестиций в совместный бизнес</w:t>
      </w:r>
      <w:r w:rsidRPr="006578B9">
        <w:rPr>
          <w:rFonts w:asciiTheme="minorHAnsi" w:hAnsiTheme="minorHAnsi" w:cstheme="minorHAnsi"/>
        </w:rPr>
        <w:t xml:space="preserve">. </w:t>
      </w:r>
      <w:proofErr w:type="gramStart"/>
      <w:r w:rsidRPr="006578B9">
        <w:rPr>
          <w:rFonts w:asciiTheme="minorHAnsi" w:hAnsiTheme="minorHAnsi" w:cstheme="minorHAnsi"/>
        </w:rPr>
        <w:t>Контроль за</w:t>
      </w:r>
      <w:proofErr w:type="gramEnd"/>
      <w:r w:rsidRPr="006578B9">
        <w:rPr>
          <w:rFonts w:asciiTheme="minorHAnsi" w:hAnsiTheme="minorHAnsi" w:cstheme="minorHAnsi"/>
        </w:rPr>
        <w:t xml:space="preserve"> финансированием. Ответственность за несоблюдение обязательств по финансированию. Порядок возврата вложенных инвестиций. Цели проекта по совместному бизнесу и конкретные финансовые критерии, которые должны быть достигнуты при совместном ведении бизнеса. Порядок распределения полученной прибыли.    </w:t>
      </w:r>
    </w:p>
    <w:p w14:paraId="0006DBCF" w14:textId="77777777" w:rsidR="00FE3FC9" w:rsidRPr="006578B9" w:rsidRDefault="00FE3FC9" w:rsidP="00463A27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b/>
          <w:bCs/>
          <w:i/>
          <w:iCs/>
        </w:rPr>
        <w:t>Порядок управлением совместным бизнесом.</w:t>
      </w:r>
      <w:r w:rsidRPr="006578B9">
        <w:rPr>
          <w:rFonts w:asciiTheme="minorHAnsi" w:hAnsiTheme="minorHAnsi" w:cstheme="minorHAnsi"/>
        </w:rPr>
        <w:t xml:space="preserve"> Гибкий порядок утверждения и согласования всеми партнерами кандидатур руководителя компании (исполнительного органа), членов совета директоров и других органов компании. Разграничение полномочий по управлению </w:t>
      </w:r>
      <w:r w:rsidRPr="006578B9">
        <w:rPr>
          <w:rFonts w:asciiTheme="minorHAnsi" w:hAnsiTheme="minorHAnsi" w:cstheme="minorHAnsi"/>
        </w:rPr>
        <w:lastRenderedPageBreak/>
        <w:t xml:space="preserve">бизнесом и сфер ответственности между партнерами. Альтернативные способы управления компанией (по отдельным видам деятельности) путем обязательной выдачи доверенностей. Ответственность за нарушение прав в сфере управления совместным бизнесом/компанией (при нарушении сфер разграничения компетенции, при избрании органов управления с нарушением условий корпоративного договора, необоснованном отзыве доверенности и т.д.).   </w:t>
      </w:r>
    </w:p>
    <w:p w14:paraId="222B4102" w14:textId="131E4F5D" w:rsidR="00FE3FC9" w:rsidRPr="006578B9" w:rsidRDefault="00FE3FC9" w:rsidP="00463A27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b/>
          <w:bCs/>
          <w:i/>
          <w:iCs/>
        </w:rPr>
        <w:t>Порядок перехода прав на доли/акции совместной компании.</w:t>
      </w:r>
      <w:r w:rsidRPr="006578B9">
        <w:rPr>
          <w:rFonts w:asciiTheme="minorHAnsi" w:hAnsiTheme="minorHAnsi" w:cstheme="minorHAnsi"/>
        </w:rPr>
        <w:t xml:space="preserve"> Утверждение особого более гибкого порядка перехода прав на доли/акции, а также особого порядк</w:t>
      </w:r>
      <w:r w:rsidR="00741A66" w:rsidRPr="006578B9">
        <w:rPr>
          <w:rFonts w:asciiTheme="minorHAnsi" w:hAnsiTheme="minorHAnsi" w:cstheme="minorHAnsi"/>
        </w:rPr>
        <w:t>а наложения обременений на доли/</w:t>
      </w:r>
      <w:r w:rsidRPr="006578B9">
        <w:rPr>
          <w:rFonts w:asciiTheme="minorHAnsi" w:hAnsiTheme="minorHAnsi" w:cstheme="minorHAnsi"/>
        </w:rPr>
        <w:t>акции. Максимальное исключен</w:t>
      </w:r>
      <w:r w:rsidR="00741A66" w:rsidRPr="006578B9">
        <w:rPr>
          <w:rFonts w:asciiTheme="minorHAnsi" w:hAnsiTheme="minorHAnsi" w:cstheme="minorHAnsi"/>
        </w:rPr>
        <w:t>ие рисков перехода прав на доли/</w:t>
      </w:r>
      <w:r w:rsidRPr="006578B9">
        <w:rPr>
          <w:rFonts w:asciiTheme="minorHAnsi" w:hAnsiTheme="minorHAnsi" w:cstheme="minorHAnsi"/>
        </w:rPr>
        <w:t>акции к иным лицам (не участвующим в корпоративном договоре).</w:t>
      </w:r>
    </w:p>
    <w:p w14:paraId="7069B507" w14:textId="77777777" w:rsidR="00FE3FC9" w:rsidRPr="006578B9" w:rsidRDefault="00FE3FC9" w:rsidP="00463A27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</w:rPr>
      </w:pPr>
      <w:r w:rsidRPr="006578B9">
        <w:rPr>
          <w:rFonts w:asciiTheme="minorHAnsi" w:hAnsiTheme="minorHAnsi" w:cstheme="minorHAnsi"/>
          <w:b/>
          <w:bCs/>
          <w:i/>
          <w:iCs/>
        </w:rPr>
        <w:t>Порядок выхода партнеров из совместного бизнеса.</w:t>
      </w:r>
      <w:r w:rsidRPr="006578B9">
        <w:rPr>
          <w:rFonts w:asciiTheme="minorHAnsi" w:hAnsiTheme="minorHAnsi" w:cstheme="minorHAnsi"/>
        </w:rPr>
        <w:t xml:space="preserve"> Условия добровольного выхода партнера и выкупа его доли другими партнерами. Условия и порядок принудительного исключения партнера (виновного в нарушении корпоративного договора) из состава участников/акционеров компании и принудительный выкуп его долей/акций.</w:t>
      </w:r>
    </w:p>
    <w:p w14:paraId="2252CA13" w14:textId="77777777" w:rsidR="00FE3FC9" w:rsidRPr="006578B9" w:rsidRDefault="00FE3FC9" w:rsidP="00463A27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 w:cstheme="minorHAnsi"/>
          <w:i/>
        </w:rPr>
      </w:pPr>
      <w:r w:rsidRPr="006578B9">
        <w:rPr>
          <w:rFonts w:asciiTheme="minorHAnsi" w:hAnsiTheme="minorHAnsi" w:cstheme="minorHAnsi"/>
          <w:b/>
          <w:bCs/>
          <w:i/>
          <w:iCs/>
        </w:rPr>
        <w:t>Обязательства партнеров о неконкуренции.</w:t>
      </w:r>
      <w:r w:rsidRPr="006578B9">
        <w:rPr>
          <w:rFonts w:asciiTheme="minorHAnsi" w:hAnsiTheme="minorHAnsi" w:cstheme="minorHAnsi"/>
        </w:rPr>
        <w:t xml:space="preserve"> Перечень действий партнеров, которые стороны относят к конкурентной деятельности (по отношению к совместной компании). Ответственность за совершение указанных действий.</w:t>
      </w:r>
    </w:p>
    <w:p w14:paraId="7CD578F3" w14:textId="77777777" w:rsidR="00151AED" w:rsidRPr="006578B9" w:rsidRDefault="00151AED">
      <w:pPr>
        <w:rPr>
          <w:rFonts w:asciiTheme="minorHAnsi" w:hAnsiTheme="minorHAnsi" w:cstheme="minorHAnsi"/>
        </w:rPr>
      </w:pPr>
    </w:p>
    <w:sectPr w:rsidR="00151AED" w:rsidRPr="006578B9" w:rsidSect="005945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CFE"/>
    <w:multiLevelType w:val="multilevel"/>
    <w:tmpl w:val="6E9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85AA3"/>
    <w:multiLevelType w:val="hybridMultilevel"/>
    <w:tmpl w:val="B4C22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D2B4B"/>
    <w:multiLevelType w:val="hybridMultilevel"/>
    <w:tmpl w:val="5796AE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C9"/>
    <w:rsid w:val="00132850"/>
    <w:rsid w:val="00151AED"/>
    <w:rsid w:val="001C12F9"/>
    <w:rsid w:val="002B32F6"/>
    <w:rsid w:val="00463A27"/>
    <w:rsid w:val="005945A3"/>
    <w:rsid w:val="006578B9"/>
    <w:rsid w:val="006C0025"/>
    <w:rsid w:val="00741A66"/>
    <w:rsid w:val="00770961"/>
    <w:rsid w:val="007C2BB5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E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C9"/>
    <w:pPr>
      <w:ind w:left="720"/>
      <w:contextualSpacing/>
    </w:pPr>
  </w:style>
  <w:style w:type="paragraph" w:customStyle="1" w:styleId="docdata">
    <w:name w:val="docdata"/>
    <w:aliases w:val="docy,v5,21851,bqiaagaaeyqcaaagiaiaaanztqaabrbtaaaaaaaaaaaaaaaaaaaaaaaaaaaaaaaaaaaaaaaaaaaaaaaaaaaaaaaaaaaaaaaaaaaaaaaaaaaaaaaaaaaaaaaaaaaaaaaaaaaaaaaaaaaaaaaaaaaaaaaaaaaaaaaaaaaaaaaaaaaaaaaaaaaaaaaaaaaaaaaaaaaaaaaaaaaaaaaaaaaaaaaaaaaaaaaaaaaaaaa"/>
    <w:basedOn w:val="a"/>
    <w:rsid w:val="00FE3FC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E3FC9"/>
    <w:pPr>
      <w:spacing w:before="100" w:beforeAutospacing="1" w:after="100" w:afterAutospacing="1"/>
    </w:pPr>
  </w:style>
  <w:style w:type="character" w:customStyle="1" w:styleId="3343">
    <w:name w:val="3343"/>
    <w:aliases w:val="bqiaagaaeyqcaaagiaiaaaozbaaabxykaaaaaaaaaaaaaaaaaaaaaaaaaaaaaaaaaaaaaaaaaaaaaaaaaaaaaaaaaaaaaaaaaaaaaaaaaaaaaaaaaaaaaaaaaaaaaaaaaaaaaaaaaaaaaaaaaaaaaaaaaaaaaaaaaaaaaaaaaaaaaaaaaaaaaaaaaaaaaaaaaaaaaaaaaaaaaaaaaaaaaaaaaaaaaaaaaaaaaaaa"/>
    <w:basedOn w:val="a0"/>
    <w:rsid w:val="00463A27"/>
  </w:style>
  <w:style w:type="paragraph" w:styleId="a5">
    <w:name w:val="Title"/>
    <w:basedOn w:val="a"/>
    <w:next w:val="a"/>
    <w:link w:val="a6"/>
    <w:uiPriority w:val="10"/>
    <w:qFormat/>
    <w:rsid w:val="006578B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78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C9"/>
    <w:pPr>
      <w:ind w:left="720"/>
      <w:contextualSpacing/>
    </w:pPr>
  </w:style>
  <w:style w:type="paragraph" w:customStyle="1" w:styleId="docdata">
    <w:name w:val="docdata"/>
    <w:aliases w:val="docy,v5,21851,bqiaagaaeyqcaaagiaiaaanztqaabrbtaaaaaaaaaaaaaaaaaaaaaaaaaaaaaaaaaaaaaaaaaaaaaaaaaaaaaaaaaaaaaaaaaaaaaaaaaaaaaaaaaaaaaaaaaaaaaaaaaaaaaaaaaaaaaaaaaaaaaaaaaaaaaaaaaaaaaaaaaaaaaaaaaaaaaaaaaaaaaaaaaaaaaaaaaaaaaaaaaaaaaaaaaaaaaaaaaaaaaaa"/>
    <w:basedOn w:val="a"/>
    <w:rsid w:val="00FE3FC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E3FC9"/>
    <w:pPr>
      <w:spacing w:before="100" w:beforeAutospacing="1" w:after="100" w:afterAutospacing="1"/>
    </w:pPr>
  </w:style>
  <w:style w:type="character" w:customStyle="1" w:styleId="3343">
    <w:name w:val="3343"/>
    <w:aliases w:val="bqiaagaaeyqcaaagiaiaaaozbaaabxykaaaaaaaaaaaaaaaaaaaaaaaaaaaaaaaaaaaaaaaaaaaaaaaaaaaaaaaaaaaaaaaaaaaaaaaaaaaaaaaaaaaaaaaaaaaaaaaaaaaaaaaaaaaaaaaaaaaaaaaaaaaaaaaaaaaaaaaaaaaaaaaaaaaaaaaaaaaaaaaaaaaaaaaaaaaaaaaaaaaaaaaaaaaaaaaaaaaaaaaa"/>
    <w:basedOn w:val="a0"/>
    <w:rsid w:val="00463A27"/>
  </w:style>
  <w:style w:type="paragraph" w:styleId="a5">
    <w:name w:val="Title"/>
    <w:basedOn w:val="a"/>
    <w:next w:val="a"/>
    <w:link w:val="a6"/>
    <w:uiPriority w:val="10"/>
    <w:qFormat/>
    <w:rsid w:val="006578B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78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днс</cp:lastModifiedBy>
  <cp:revision>3</cp:revision>
  <dcterms:created xsi:type="dcterms:W3CDTF">2022-02-08T07:54:00Z</dcterms:created>
  <dcterms:modified xsi:type="dcterms:W3CDTF">2022-02-08T08:01:00Z</dcterms:modified>
</cp:coreProperties>
</file>